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rPr>
          <w:rFonts w:hint="eastAsia" w:ascii="宋体" w:hAnsi="宋体" w:eastAsia="楷体_GB2312" w:cs="楷体_GB2312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eastAsia="楷体_GB2312" w:cs="楷体_GB2312"/>
          <w:bCs/>
          <w:sz w:val="22"/>
          <w:szCs w:val="22"/>
        </w:rPr>
        <w:t>填报单位：福建永强岩土股份有限公司</w:t>
      </w:r>
      <w:r>
        <w:rPr>
          <w:rFonts w:ascii="宋体" w:hAnsi="宋体" w:eastAsia="楷体_GB2312" w:cs="楷体_GB2312"/>
          <w:bCs/>
          <w:sz w:val="28"/>
          <w:szCs w:val="28"/>
        </w:rPr>
        <w:t xml:space="preserve">  </w:t>
      </w:r>
    </w:p>
    <w:tbl>
      <w:tblPr>
        <w:tblStyle w:val="4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7"/>
        <w:gridCol w:w="1545"/>
        <w:gridCol w:w="54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b/>
                <w:color w:val="000000"/>
                <w:sz w:val="28"/>
                <w:szCs w:val="28"/>
              </w:rPr>
              <w:t>成果项目名称</w:t>
            </w:r>
          </w:p>
        </w:tc>
        <w:tc>
          <w:tcPr>
            <w:tcW w:w="6951" w:type="dxa"/>
            <w:gridSpan w:val="2"/>
            <w:noWrap w:val="0"/>
            <w:vAlign w:val="center"/>
          </w:tcPr>
          <w:p>
            <w:pPr>
              <w:snapToGrid w:val="0"/>
              <w:spacing w:line="520" w:lineRule="exact"/>
              <w:rPr>
                <w:rFonts w:hint="eastAsia"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既有海工PHC管桩裂缝病害微生物防治技术研究与应用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</w:rPr>
              <w:t>所属领域</w:t>
            </w:r>
          </w:p>
        </w:tc>
        <w:tc>
          <w:tcPr>
            <w:tcW w:w="6951" w:type="dxa"/>
            <w:gridSpan w:val="2"/>
            <w:noWrap w:val="0"/>
            <w:vAlign w:val="top"/>
          </w:tcPr>
          <w:p>
            <w:pPr>
              <w:snapToGrid w:val="0"/>
              <w:spacing w:line="520" w:lineRule="exact"/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绿色生物基新材料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snapToGrid w:val="0"/>
              <w:spacing w:line="520" w:lineRule="exact"/>
              <w:rPr>
                <w:rFonts w:hint="eastAsia" w:ascii="宋体" w:hAnsi="宋体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</w:rPr>
              <w:t>知识产权情况</w:t>
            </w:r>
          </w:p>
        </w:tc>
        <w:tc>
          <w:tcPr>
            <w:tcW w:w="6951" w:type="dxa"/>
            <w:gridSpan w:val="2"/>
            <w:noWrap w:val="0"/>
            <w:vAlign w:val="top"/>
          </w:tcPr>
          <w:p>
            <w:pPr>
              <w:snapToGrid w:val="0"/>
              <w:spacing w:line="480" w:lineRule="exact"/>
              <w:rPr>
                <w:rFonts w:hint="eastAsia" w:ascii="宋体" w:hAnsi="宋体" w:cs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授权3项实用新型专利，发表5篇学术论文，具备完整自主知识产权。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77" w:type="dxa"/>
            <w:vMerge w:val="restart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</w:rPr>
              <w:t>第一完成</w:t>
            </w:r>
          </w:p>
          <w:p>
            <w:pPr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</w:rPr>
              <w:t>单位</w:t>
            </w:r>
          </w:p>
        </w:tc>
        <w:tc>
          <w:tcPr>
            <w:tcW w:w="1545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bCs/>
                <w:sz w:val="28"/>
                <w:szCs w:val="28"/>
              </w:rPr>
              <w:t>单位名称</w:t>
            </w:r>
          </w:p>
        </w:tc>
        <w:tc>
          <w:tcPr>
            <w:tcW w:w="5406" w:type="dxa"/>
            <w:noWrap w:val="0"/>
            <w:vAlign w:val="top"/>
          </w:tcPr>
          <w:p>
            <w:pPr>
              <w:snapToGrid w:val="0"/>
              <w:spacing w:line="520" w:lineRule="exact"/>
              <w:rPr>
                <w:rFonts w:hint="eastAsia"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福建永强岩土股份有限公司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77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bCs/>
                <w:sz w:val="28"/>
                <w:szCs w:val="28"/>
              </w:rPr>
              <w:t>单位性质</w:t>
            </w:r>
          </w:p>
        </w:tc>
        <w:tc>
          <w:tcPr>
            <w:tcW w:w="5406" w:type="dxa"/>
            <w:noWrap w:val="0"/>
            <w:vAlign w:val="top"/>
          </w:tcPr>
          <w:p>
            <w:pPr>
              <w:snapToGrid w:val="0"/>
              <w:spacing w:line="520" w:lineRule="exact"/>
              <w:rPr>
                <w:rFonts w:hint="eastAsia"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民营企业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77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bCs/>
                <w:sz w:val="28"/>
                <w:szCs w:val="28"/>
              </w:rPr>
              <w:t>联系人</w:t>
            </w:r>
          </w:p>
        </w:tc>
        <w:tc>
          <w:tcPr>
            <w:tcW w:w="5406" w:type="dxa"/>
            <w:noWrap w:val="0"/>
            <w:vAlign w:val="top"/>
          </w:tcPr>
          <w:p>
            <w:pPr>
              <w:snapToGrid w:val="0"/>
              <w:spacing w:line="520" w:lineRule="exact"/>
              <w:rPr>
                <w:rFonts w:hint="eastAsia" w:ascii="宋体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77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bCs/>
                <w:sz w:val="28"/>
                <w:szCs w:val="28"/>
              </w:rPr>
              <w:t>联系电话</w:t>
            </w:r>
          </w:p>
        </w:tc>
        <w:tc>
          <w:tcPr>
            <w:tcW w:w="5406" w:type="dxa"/>
            <w:noWrap w:val="0"/>
            <w:vAlign w:val="top"/>
          </w:tcPr>
          <w:p>
            <w:pPr>
              <w:snapToGrid w:val="0"/>
              <w:spacing w:line="520" w:lineRule="exact"/>
              <w:rPr>
                <w:rFonts w:hint="eastAsia" w:ascii="宋体" w:hAnsi="宋体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</w:rPr>
              <w:t>成果简介</w:t>
            </w:r>
          </w:p>
          <w:p>
            <w:pPr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</w:rPr>
              <w:t>（250字内）</w:t>
            </w:r>
          </w:p>
        </w:tc>
        <w:tc>
          <w:tcPr>
            <w:tcW w:w="6951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cs="仿宋_GB2312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针对沿海既有海工PHC管桩裂缝病害，研发MICP微生物绿色防治技术，应用于港口码头、跨海桥梁桩基修复领域。完成全套室内试验、模型试验与现场示范，优化微生物胶凝材料力学性能，现场竖向裂缝修复率 98.39%、横向裂缝修复率 99.79%，氯离子扩散系数大幅下降，配套研发多点剪切波速智能监测系统；于国能福州热电码头建成示范工程，施工全程环保无污染。实现新增销售收入723万元，新增利润150万元、税金55万元；发表学术论文5篇，授权实用新型专利3项，完成技术骨干培训、人员职称提升等人才培养任务。福建沿海存量破损海工管桩体量巨大，本技术耐久环保、施工便捷，可有效延长桩基服役年限，市场推广前景广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</w:rPr>
              <w:t>合作方式</w:t>
            </w:r>
          </w:p>
        </w:tc>
        <w:tc>
          <w:tcPr>
            <w:tcW w:w="6951" w:type="dxa"/>
            <w:gridSpan w:val="2"/>
            <w:noWrap w:val="0"/>
            <w:vAlign w:val="center"/>
          </w:tcPr>
          <w:p>
            <w:pPr>
              <w:snapToGrid w:val="0"/>
              <w:spacing w:line="520" w:lineRule="exact"/>
              <w:rPr>
                <w:rFonts w:hint="eastAsia" w:ascii="宋体" w:hAnsi="宋体" w:cs="仿宋_GB2312"/>
                <w:kern w:val="0"/>
                <w:sz w:val="28"/>
                <w:szCs w:val="28"/>
              </w:rPr>
            </w:pPr>
            <w:r>
              <w:rPr>
                <w:rFonts w:ascii="宋体" w:hAnsi="宋体" w:cs="仿宋_GB2312"/>
                <w:kern w:val="0"/>
                <w:sz w:val="24"/>
                <w:szCs w:val="24"/>
              </w:rPr>
              <w:t>产学研校企联合开发模式</w:t>
            </w:r>
          </w:p>
        </w:tc>
      </w:tr>
    </w:tbl>
    <w:p>
      <w:r>
        <w:rPr>
          <w:rFonts w:hint="eastAsia" w:ascii="仿宋_GB2312" w:eastAsia="仿宋_GB2312"/>
          <w:sz w:val="32"/>
          <w:szCs w:val="3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永中宋体">
    <w:altName w:val="宋体"/>
    <w:panose1 w:val="02010600030101010101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29322A"/>
    <w:rsid w:val="CB7FD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永中宋体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next w:val="3"/>
    <w:qFormat/>
    <w:uiPriority w:val="0"/>
    <w:pPr>
      <w:adjustRightInd w:val="0"/>
      <w:spacing w:line="420" w:lineRule="atLeast"/>
      <w:jc w:val="left"/>
      <w:textAlignment w:val="baseline"/>
    </w:pPr>
    <w:rPr>
      <w:kern w:val="0"/>
      <w:szCs w:val="20"/>
    </w:rPr>
  </w:style>
  <w:style w:type="paragraph" w:styleId="3">
    <w:name w:val="Body Text"/>
    <w:basedOn w:val="1"/>
    <w:next w:val="1"/>
    <w:qFormat/>
    <w:uiPriority w:val="0"/>
    <w:pPr>
      <w:spacing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2026-07-20T17:10:00Z</dcterms:created>
  <dc:creator>zy</dc:creator>
  <cp:lastModifiedBy>FF</cp:lastModifiedBy>
  <dcterms:modified xsi:type="dcterms:W3CDTF">2026-08-03T11:42:08Z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KSOTemplateDocerSaveRecord">
    <vt:lpwstr>eyJoZGlkIjoiMjUyNWY2YzcwYjNkMTE1OWZhMTdlNTg5ZmFlOWQ2ZjgiLCJ1c2VySWQiOiI1NjEzMjI3MjcifQ==</vt:lpwstr>
  </property>
  <property fmtid="{D5CDD505-2E9C-101B-9397-08002B2CF9AE}" pid="4" name="ICV">
    <vt:lpwstr>78DD4DBC879E4AF2B3AA2A0FFC1F0522_12</vt:lpwstr>
  </property>
</Properties>
</file>