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beforeLines="20" w:afterLines="20"/>
        <w:jc w:val="center"/>
        <w:rPr>
          <w:rFonts w:ascii="方正小标宋简体" w:hAnsi="方正小标宋简体"/>
          <w:w w:val="95"/>
          <w:kern w:val="0"/>
          <w:sz w:val="40"/>
          <w:szCs w:val="40"/>
        </w:rPr>
      </w:pPr>
      <w:r>
        <w:rPr>
          <w:rFonts w:ascii="方正小标宋简体" w:hAnsi="方正小标宋简体"/>
          <w:spacing w:val="28"/>
          <w:w w:val="95"/>
          <w:kern w:val="0"/>
          <w:sz w:val="40"/>
          <w:szCs w:val="40"/>
        </w:rPr>
        <w:t>科技成果信息</w:t>
      </w:r>
      <w:r>
        <w:rPr>
          <w:rFonts w:ascii="方正小标宋简体" w:hAnsi="方正小标宋简体"/>
          <w:w w:val="95"/>
          <w:kern w:val="0"/>
          <w:sz w:val="40"/>
          <w:szCs w:val="40"/>
        </w:rPr>
        <w:t>表</w:t>
      </w:r>
    </w:p>
    <w:p>
      <w:pPr>
        <w:autoSpaceDE w:val="0"/>
        <w:snapToGrid w:val="0"/>
        <w:spacing w:line="520" w:lineRule="exact"/>
        <w:jc w:val="left"/>
        <w:rPr>
          <w:rFonts w:ascii="楷体_GB2312" w:hAnsi="楷体_GB2312"/>
          <w:bCs/>
          <w:color w:val="000000"/>
          <w:kern w:val="0"/>
          <w:sz w:val="24"/>
          <w:szCs w:val="24"/>
        </w:rPr>
      </w:pPr>
      <w:r>
        <w:rPr>
          <w:rFonts w:ascii="楷体_GB2312" w:hAnsi="楷体_GB2312"/>
          <w:bCs/>
          <w:sz w:val="24"/>
          <w:szCs w:val="24"/>
        </w:rPr>
        <w:t xml:space="preserve">填报单位：  </w:t>
      </w:r>
    </w:p>
    <w:tbl>
      <w:tblPr>
        <w:tblStyle w:val="2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成果项目名称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楷体_GB2312" w:hAnsi="楷体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/>
                <w:bCs/>
                <w:sz w:val="24"/>
                <w:szCs w:val="24"/>
                <w:lang w:val="en-US" w:eastAsia="zh-CN"/>
              </w:rPr>
              <w:t>金线莲茎腐病拮抗木霉菌发酵培养与防病防促生应用研究</w:t>
            </w:r>
          </w:p>
          <w:p>
            <w:pPr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项目编号（2023N0047）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bookmarkStart w:id="0" w:name="_GoBack"/>
            <w:r>
              <w:rPr>
                <w:rFonts w:hint="eastAsia" w:ascii="仿宋_GB2312"/>
                <w:sz w:val="24"/>
                <w:szCs w:val="24"/>
              </w:rPr>
              <w:t>农业与林业科学技术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制订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团体</w:t>
            </w:r>
            <w:r>
              <w:rPr>
                <w:rFonts w:hint="eastAsia" w:ascii="仿宋_GB2312"/>
                <w:sz w:val="24"/>
                <w:szCs w:val="24"/>
              </w:rPr>
              <w:t>标准</w:t>
            </w:r>
            <w:r>
              <w:rPr>
                <w:rFonts w:hint="eastAsia" w:eastAsia="宋体"/>
                <w:sz w:val="24"/>
                <w:szCs w:val="24"/>
              </w:rPr>
              <w:t>1</w:t>
            </w:r>
            <w:r>
              <w:rPr>
                <w:rFonts w:hint="eastAsia" w:ascii="仿宋_GB2312"/>
                <w:sz w:val="24"/>
                <w:szCs w:val="24"/>
              </w:rPr>
              <w:t>项，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_GB2312"/>
                <w:sz w:val="24"/>
                <w:szCs w:val="24"/>
              </w:rPr>
              <w:t>专利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/>
                <w:sz w:val="24"/>
                <w:szCs w:val="24"/>
              </w:rPr>
              <w:t>件，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菌种保藏2个，</w:t>
            </w:r>
            <w:r>
              <w:rPr>
                <w:rFonts w:hint="eastAsia" w:ascii="仿宋_GB2312"/>
                <w:sz w:val="24"/>
                <w:szCs w:val="24"/>
              </w:rPr>
              <w:t>发表论文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/>
                <w:sz w:val="24"/>
                <w:szCs w:val="24"/>
              </w:rPr>
              <w:t>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三明市农业科学研究院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cs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仿宋_GB2312" w:cs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903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成果简介</w:t>
            </w:r>
          </w:p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ascii="楷体_GB2312" w:hAnsi="楷体_GB2312"/>
                <w:sz w:val="24"/>
                <w:szCs w:val="24"/>
              </w:rPr>
              <w:t>（</w:t>
            </w:r>
            <w:r>
              <w:rPr>
                <w:rFonts w:eastAsia="宋体"/>
                <w:sz w:val="24"/>
                <w:szCs w:val="24"/>
              </w:rPr>
              <w:t>250</w:t>
            </w:r>
            <w:r>
              <w:rPr>
                <w:rFonts w:ascii="楷体_GB2312" w:hAnsi="楷体_GB2312"/>
                <w:sz w:val="24"/>
                <w:szCs w:val="24"/>
              </w:rPr>
              <w:t>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spacing w:line="360" w:lineRule="auto"/>
              <w:ind w:firstLine="481" w:firstLineChars="20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sz w:val="24"/>
                <w:szCs w:val="24"/>
              </w:rPr>
              <w:t>应用领域</w:t>
            </w:r>
            <w:r>
              <w:rPr>
                <w:rFonts w:hint="eastAsia" w:ascii="仿宋_GB2312"/>
                <w:sz w:val="24"/>
                <w:szCs w:val="24"/>
              </w:rPr>
              <w:t>：</w:t>
            </w:r>
            <w:r>
              <w:rPr>
                <w:rFonts w:hint="eastAsia" w:ascii="仿宋_GB2312" w:cs="仿宋_GB2312"/>
                <w:sz w:val="24"/>
                <w:szCs w:val="24"/>
              </w:rPr>
              <w:t>中药材种植、林下经济</w:t>
            </w:r>
            <w:r>
              <w:rPr>
                <w:rFonts w:hint="eastAsia" w:ascii="仿宋_GB2312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481" w:firstLineChars="200"/>
              <w:jc w:val="left"/>
              <w:rPr>
                <w:rFonts w:hint="eastAsia" w:ascii="仿宋_GB2312"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sz w:val="24"/>
                <w:szCs w:val="24"/>
              </w:rPr>
              <w:t>技术指标</w:t>
            </w:r>
            <w:r>
              <w:rPr>
                <w:rFonts w:hint="eastAsia" w:ascii="仿宋_GB2312"/>
                <w:sz w:val="24"/>
                <w:szCs w:val="24"/>
              </w:rPr>
              <w:t>：制订金线莲木霉菌发酵及其配套栽培技术规程</w:t>
            </w:r>
            <w:r>
              <w:rPr>
                <w:rFonts w:ascii="仿宋_GB2312"/>
                <w:sz w:val="24"/>
                <w:szCs w:val="24"/>
              </w:rPr>
              <w:t>；建立了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504平方米袋式金线莲木霉菌防病栽培示范基地</w:t>
            </w:r>
            <w:r>
              <w:rPr>
                <w:rFonts w:ascii="仿宋_GB2312"/>
                <w:sz w:val="24"/>
                <w:szCs w:val="24"/>
              </w:rPr>
              <w:t>、或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种植金线莲28万</w:t>
            </w:r>
            <w:r>
              <w:rPr>
                <w:rFonts w:ascii="仿宋_GB2312"/>
                <w:sz w:val="24"/>
                <w:szCs w:val="24"/>
              </w:rPr>
              <w:t>株</w:t>
            </w:r>
            <w:r>
              <w:rPr>
                <w:rFonts w:hint="eastAsia" w:ascii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金线莲苷含量显著提升达17.81%</w:t>
            </w:r>
            <w:r>
              <w:rPr>
                <w:rFonts w:ascii="仿宋_GB2312"/>
                <w:sz w:val="24"/>
                <w:szCs w:val="24"/>
              </w:rPr>
              <w:t>。</w:t>
            </w:r>
            <w:r>
              <w:rPr>
                <w:rFonts w:hint="eastAsia" w:ascii="仿宋_GB2312"/>
                <w:sz w:val="24"/>
                <w:szCs w:val="24"/>
              </w:rPr>
              <w:t>筛选2株内生拮抗木霉菌，明确最优发酵参数；A21B-1防效91.88%，茎腐病发病率低至0.67%，单株鲜重达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/>
                <w:sz w:val="24"/>
                <w:szCs w:val="24"/>
              </w:rPr>
              <w:t>.</w:t>
            </w: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/>
                <w:sz w:val="24"/>
                <w:szCs w:val="24"/>
              </w:rPr>
              <w:t>g</w:t>
            </w:r>
            <w:r>
              <w:rPr>
                <w:rFonts w:ascii="仿宋_GB2312"/>
                <w:sz w:val="24"/>
                <w:szCs w:val="24"/>
              </w:rPr>
              <w:t>。</w:t>
            </w:r>
          </w:p>
          <w:p>
            <w:pPr>
              <w:spacing w:line="360" w:lineRule="auto"/>
              <w:ind w:firstLine="481" w:firstLineChars="200"/>
              <w:jc w:val="left"/>
              <w:rPr>
                <w:rFonts w:ascii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sz w:val="24"/>
                <w:szCs w:val="24"/>
              </w:rPr>
              <w:t>应用前景：</w:t>
            </w:r>
            <w:r>
              <w:rPr>
                <w:rFonts w:hint="eastAsia" w:ascii="仿宋_GB2312"/>
                <w:sz w:val="24"/>
                <w:szCs w:val="24"/>
              </w:rPr>
              <w:t>以生物菌剂替代化学农药，降低农残、提升药材品质，适用于闽浙粤等金线莲主产区，助力中药材绿色有机栽培，产业转化与林下经济推广价值突出。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snapToGrid w:val="0"/>
              <w:spacing w:line="52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snapToGrid w:val="0"/>
              <w:spacing w:line="52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产学研合作、技术服务、种植基地联合开发</w:t>
            </w:r>
          </w:p>
        </w:tc>
      </w:tr>
    </w:tbl>
    <w:p>
      <w:pPr>
        <w:rPr>
          <w:rFonts w:hint="eastAsi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0127B"/>
    <w:rsid w:val="3AE0127B"/>
    <w:rsid w:val="F9FFF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411</Words>
  <Characters>466</Characters>
  <Lines>0</Lines>
  <Paragraphs>0</Paragraphs>
  <TotalTime>0</TotalTime>
  <ScaleCrop>false</ScaleCrop>
  <LinksUpToDate>false</LinksUpToDate>
  <CharactersWithSpaces>473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2026-07-23T16:04:00Z</dcterms:created>
  <dc:creator>admin</dc:creator>
  <cp:lastModifiedBy>FF</cp:lastModifiedBy>
  <dcterms:modified xsi:type="dcterms:W3CDTF">2026-08-03T09:46:30Z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3B61F00A2114474A922837D40EF424E0</vt:lpwstr>
  </property>
</Properties>
</file>